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57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 w:eastAsia="宋体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hint="eastAsia" w:eastAsia="宋体"/>
          <w:b/>
          <w:sz w:val="24"/>
          <w:lang w:val="en-US" w:eastAsia="zh-CN"/>
        </w:rPr>
        <w:t>10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206205</w:t>
      </w:r>
      <w:r>
        <w:rPr>
          <w:b/>
          <w:i/>
          <w:sz w:val="28"/>
        </w:rPr>
        <w:fldChar w:fldCharType="end"/>
      </w:r>
    </w:p>
    <w:p>
      <w:pPr>
        <w:pStyle w:val="57"/>
        <w:outlineLvl w:val="0"/>
        <w:rPr>
          <w:b/>
          <w:sz w:val="24"/>
          <w:lang w:eastAsia="zh-CN"/>
        </w:rPr>
      </w:pPr>
      <w:r>
        <w:rPr>
          <w:b/>
          <w:sz w:val="24"/>
          <w:lang w:eastAsia="ja-JP"/>
        </w:rPr>
        <w:t xml:space="preserve">Toulouse, France,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</w:rPr>
        <w:t xml:space="preserve"> –</w:t>
      </w:r>
      <w:r>
        <w:rPr>
          <w:rFonts w:hint="eastAsia" w:eastAsia="宋体"/>
          <w:b/>
          <w:sz w:val="24"/>
          <w:lang w:val="en-US" w:eastAsia="zh-CN"/>
        </w:rPr>
        <w:t xml:space="preserve">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Style w:val="2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7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>
            <w:pPr>
              <w:pStyle w:val="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9"/>
                <w:rFonts w:cs="Arial"/>
                <w:b/>
                <w:i/>
                <w:color w:val="FF0000"/>
              </w:rPr>
              <w:t>P</w:t>
            </w:r>
            <w:r>
              <w:rPr>
                <w:rStyle w:val="2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9"/>
                <w:rFonts w:cs="Arial"/>
                <w:i/>
              </w:rPr>
              <w:t>http://www.3gpp.org/Change-Requests</w:t>
            </w:r>
            <w:r>
              <w:rPr>
                <w:rStyle w:val="2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coexistence between Rel-16 and Rel-17 H/S/NA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t>RAN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rPr>
                <w:rFonts w:hint="eastAsia"/>
              </w:rPr>
              <w:t>NR_IAB_enh-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7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9"/>
                <w:sz w:val="18"/>
              </w:rPr>
              <w:t>TR 21.900</w:t>
            </w:r>
            <w:r>
              <w:rPr>
                <w:rStyle w:val="2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Times New Roman" w:cs="Arial"/>
                <w:iCs w:val="0"/>
                <w:kern w:val="0"/>
                <w:sz w:val="20"/>
                <w:lang w:val="en-US" w:eastAsia="zh-CN"/>
              </w:rPr>
            </w:pPr>
            <w:r>
              <w:rPr>
                <w:rFonts w:hint="default" w:ascii="Arial" w:hAnsi="Arial" w:eastAsia="Times New Roman" w:cs="Arial"/>
                <w:kern w:val="0"/>
                <w:sz w:val="20"/>
                <w:lang w:val="en-US" w:eastAsia="zh-CN"/>
              </w:rPr>
              <w:t xml:space="preserve">The coexistence between Rel-16 and Rel-17 H/S/NA configuration has been discussed many times.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O</w:t>
            </w:r>
            <w:r>
              <w:rPr>
                <w:rFonts w:hint="default" w:ascii="Arial" w:hAnsi="Arial" w:cs="Arial"/>
                <w:sz w:val="20"/>
              </w:rPr>
              <w:t>ne conclusion made in RAN1#10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9</w:t>
            </w:r>
            <w:r>
              <w:rPr>
                <w:rFonts w:hint="default" w:ascii="Arial" w:hAnsi="Arial" w:cs="Arial"/>
                <w:sz w:val="20"/>
              </w:rPr>
              <w:t>-e meeting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</w:rPr>
              <w:t>is as follows:</w:t>
            </w:r>
          </w:p>
          <w:p>
            <w:pPr>
              <w:widowControl w:val="0"/>
              <w:rPr>
                <w:rFonts w:hint="default" w:ascii="Arial" w:hAnsi="Arial" w:eastAsia="宋体" w:cs="Arial"/>
                <w:b/>
                <w:bCs/>
                <w:sz w:val="20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Conclusion</w:t>
            </w:r>
            <w:r>
              <w:rPr>
                <w:rFonts w:hint="default" w:ascii="Arial" w:hAnsi="Arial" w:cs="Arial"/>
                <w:b/>
                <w:bCs/>
                <w:sz w:val="20"/>
                <w:lang w:val="en-US" w:eastAsia="zh-CN"/>
              </w:rPr>
              <w:t>(RAN1#109-e)</w:t>
            </w:r>
          </w:p>
          <w:p>
            <w:pPr>
              <w:widowControl w:val="0"/>
              <w:spacing w:after="100" w:afterAutospacing="1" w:line="252" w:lineRule="auto"/>
              <w:contextualSpacing/>
              <w:rPr>
                <w:rFonts w:ascii="Arial" w:hAnsi="Arial" w:eastAsia="Times New Roman" w:cs="Arial"/>
                <w:sz w:val="20"/>
              </w:rPr>
            </w:pPr>
            <w:r>
              <w:rPr>
                <w:rFonts w:ascii="Arial" w:hAnsi="Arial" w:eastAsia="Times New Roman" w:cs="Arial"/>
                <w:bCs/>
                <w:sz w:val="20"/>
              </w:rPr>
              <w:t>If both Rel-16 H/S/NA and Rel-17 H/S/NA are configured for a given resource and the child node is operating in TDM multiplexing mode, consider the following alternatives until RAN1#110:</w:t>
            </w:r>
          </w:p>
          <w:p>
            <w:pPr>
              <w:widowControl w:val="0"/>
              <w:numPr>
                <w:ilvl w:val="0"/>
                <w:numId w:val="11"/>
              </w:numPr>
              <w:spacing w:before="100" w:after="100" w:line="252" w:lineRule="auto"/>
              <w:contextualSpacing/>
              <w:rPr>
                <w:rFonts w:ascii="Arial" w:hAnsi="Arial" w:eastAsia="Times New Roman" w:cs="Arial"/>
                <w:color w:val="FF0000"/>
                <w:sz w:val="20"/>
              </w:rPr>
            </w:pPr>
            <w:r>
              <w:rPr>
                <w:rFonts w:ascii="Arial" w:hAnsi="Arial" w:eastAsia="Times New Roman" w:cs="Arial"/>
                <w:bCs/>
                <w:strike/>
                <w:color w:val="FF0000"/>
                <w:sz w:val="20"/>
              </w:rPr>
              <w:t>Alt. 1: the child node follows the Rel-16 H/S/NA configuration for the resource</w:t>
            </w:r>
          </w:p>
          <w:p>
            <w:pPr>
              <w:widowControl w:val="0"/>
              <w:numPr>
                <w:ilvl w:val="0"/>
                <w:numId w:val="11"/>
              </w:numPr>
              <w:spacing w:before="100" w:after="100" w:line="252" w:lineRule="auto"/>
              <w:contextualSpacing/>
              <w:rPr>
                <w:rFonts w:ascii="Arial" w:hAnsi="Arial" w:eastAsia="Times New Roman" w:cs="Arial"/>
                <w:sz w:val="20"/>
              </w:rPr>
            </w:pPr>
            <w:r>
              <w:rPr>
                <w:rFonts w:ascii="Arial" w:hAnsi="Arial" w:eastAsia="Times New Roman" w:cs="Arial"/>
                <w:bCs/>
                <w:sz w:val="20"/>
              </w:rPr>
              <w:t>Alt. 2: the child node follows the Rel-17 H/S/NA configuration for the resource</w:t>
            </w:r>
          </w:p>
          <w:p>
            <w:pPr>
              <w:widowControl w:val="0"/>
              <w:numPr>
                <w:ilvl w:val="0"/>
                <w:numId w:val="11"/>
              </w:numPr>
              <w:spacing w:before="100" w:after="100" w:line="252" w:lineRule="auto"/>
              <w:contextualSpacing/>
              <w:rPr>
                <w:rFonts w:ascii="Arial" w:hAnsi="Arial" w:eastAsia="Times New Roman" w:cs="Arial"/>
                <w:sz w:val="20"/>
              </w:rPr>
            </w:pPr>
            <w:r>
              <w:rPr>
                <w:rFonts w:ascii="Arial" w:hAnsi="Arial" w:eastAsia="Times New Roman" w:cs="Arial"/>
                <w:bCs/>
                <w:sz w:val="20"/>
              </w:rPr>
              <w:t>Alt. 3: A resource configured with Rel-16 H or Rel-16 S with dynamic indication of availability overrides the Rel-17 H/S/NA configuration, otherwise the child node follows the Rel-17 H/S/NA configuration for the resource</w:t>
            </w:r>
          </w:p>
          <w:p>
            <w:pPr>
              <w:widowControl w:val="0"/>
              <w:numPr>
                <w:ilvl w:val="0"/>
                <w:numId w:val="11"/>
              </w:numPr>
              <w:spacing w:before="100" w:after="100" w:line="252" w:lineRule="auto"/>
              <w:contextualSpacing/>
              <w:rPr>
                <w:rFonts w:ascii="Arial" w:hAnsi="Arial" w:eastAsia="Malgun Gothic" w:cs="Arial"/>
                <w:sz w:val="20"/>
                <w:szCs w:val="20"/>
                <w:highlight w:val="none"/>
              </w:rPr>
            </w:pPr>
            <w:r>
              <w:rPr>
                <w:rFonts w:ascii="Arial" w:hAnsi="Arial" w:eastAsia="Times New Roman" w:cs="Arial"/>
                <w:bCs/>
                <w:sz w:val="20"/>
                <w:highlight w:val="none"/>
              </w:rPr>
              <w:t xml:space="preserve">Alt. 4 the child node follows the Rel-16 or Rel-17 H/S/NA based on implicit indication </w:t>
            </w:r>
            <w:r>
              <w:rPr>
                <w:rFonts w:ascii="Arial" w:hAnsi="Arial" w:eastAsia="Times New Roman" w:cs="Arial"/>
                <w:bCs/>
                <w:color w:val="FF0000"/>
                <w:sz w:val="20"/>
                <w:highlight w:val="none"/>
              </w:rPr>
              <w:t xml:space="preserve">(e.g. Case 6 timing indication) </w:t>
            </w:r>
            <w:r>
              <w:rPr>
                <w:rFonts w:ascii="Arial" w:hAnsi="Arial" w:eastAsia="Times New Roman" w:cs="Arial"/>
                <w:bCs/>
                <w:sz w:val="20"/>
                <w:highlight w:val="none"/>
              </w:rPr>
              <w:t>between parent and child node.</w:t>
            </w:r>
          </w:p>
          <w:p>
            <w:pPr>
              <w:rPr>
                <w:rFonts w:hint="default" w:ascii="Arial" w:hAnsi="Arial" w:cs="Arial"/>
                <w:sz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In above alternatives, only Alt. 2 can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achieve a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 consistent understanding of H/S/NA types applied on an IAB-node DU </w:t>
            </w:r>
            <w:r>
              <w:rPr>
                <w:rFonts w:ascii="Arial" w:hAnsi="Arial" w:cs="Arial"/>
                <w:sz w:val="20"/>
              </w:rPr>
              <w:t>among the IAB</w:t>
            </w:r>
            <w:r>
              <w:rPr>
                <w:rFonts w:hint="default" w:ascii="Arial" w:hAnsi="Arial" w:cs="Arial"/>
                <w:sz w:val="20"/>
              </w:rPr>
              <w:t>-</w:t>
            </w:r>
            <w:r>
              <w:rPr>
                <w:rFonts w:ascii="Arial" w:hAnsi="Arial" w:cs="Arial"/>
                <w:sz w:val="20"/>
              </w:rPr>
              <w:t>node</w:t>
            </w:r>
            <w:r>
              <w:rPr>
                <w:rFonts w:hint="default" w:ascii="Arial" w:hAnsi="Arial" w:cs="Arial"/>
                <w:sz w:val="20"/>
                <w:lang w:eastAsia="zh-CN"/>
              </w:rPr>
              <w:t>(s)</w:t>
            </w:r>
            <w:r>
              <w:rPr>
                <w:rFonts w:ascii="Arial" w:hAnsi="Arial" w:cs="Arial"/>
                <w:sz w:val="20"/>
              </w:rPr>
              <w:t xml:space="preserve">, its parent node(s), </w:t>
            </w:r>
            <w:r>
              <w:rPr>
                <w:rFonts w:hint="default" w:ascii="Arial" w:hAnsi="Arial" w:cs="Arial"/>
                <w:sz w:val="20"/>
              </w:rPr>
              <w:t>and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 xml:space="preserve"> its donor</w:t>
            </w:r>
            <w:r>
              <w:rPr>
                <w:rFonts w:hint="default"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CU</w:t>
            </w:r>
            <w:r>
              <w:rPr>
                <w:rFonts w:hint="default" w:ascii="Arial" w:hAnsi="Arial" w:eastAsia="宋体" w:cs="Arial"/>
                <w:sz w:val="20"/>
                <w:lang w:val="en-US" w:eastAsia="zh-CN"/>
              </w:rPr>
              <w:t>.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 xml:space="preserve"> Therefore, we suggest that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Alt.2 is supported, i.e.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if both the Rel-16 time domain H/S/NA configuration and Rel-17 frequency domain H/S/NA configuration are provided for a given RB set within a slot, Rel-17 frequency domain H/S/NA configuration is applied.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0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Delete the sentence 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>when the IAB-node uses simultaneous transmission and reception in the slot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>"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in TS38.213</w:t>
            </w:r>
            <w:r>
              <w:rPr>
                <w:rFonts w:hint="default" w:ascii="Arial" w:hAnsi="Arial" w:cs="Arial"/>
                <w:i/>
                <w:i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It will lead to inconsistent understanding of H/S/NA types applied on an IAB-node DU </w:t>
            </w:r>
            <w:r>
              <w:rPr>
                <w:rFonts w:ascii="Arial" w:hAnsi="Arial" w:cs="Arial"/>
              </w:rPr>
              <w:t>among the IAB</w:t>
            </w:r>
            <w:r>
              <w:rPr>
                <w:rFonts w:hint="default" w:ascii="Arial" w:hAnsi="Arial" w:cs="Arial"/>
              </w:rPr>
              <w:t>-</w:t>
            </w:r>
            <w:r>
              <w:rPr>
                <w:rFonts w:ascii="Arial" w:hAnsi="Arial" w:cs="Arial"/>
              </w:rPr>
              <w:t>node</w:t>
            </w:r>
            <w:r>
              <w:rPr>
                <w:rFonts w:hint="default" w:ascii="Arial" w:hAnsi="Arial" w:cs="Arial"/>
                <w:lang w:eastAsia="zh-CN"/>
              </w:rPr>
              <w:t>(s)</w:t>
            </w:r>
            <w:r>
              <w:rPr>
                <w:rFonts w:ascii="Arial" w:hAnsi="Arial" w:cs="Arial"/>
              </w:rPr>
              <w:t xml:space="preserve">, its parent node(s), </w:t>
            </w:r>
            <w:r>
              <w:rPr>
                <w:rFonts w:hint="default" w:ascii="Arial" w:hAnsi="Arial" w:cs="Arial"/>
              </w:rPr>
              <w:t>and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its donor</w:t>
            </w:r>
            <w:r>
              <w:rPr>
                <w:rFonts w:hint="default"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CU</w:t>
            </w:r>
            <w:r>
              <w:rPr>
                <w:rFonts w:hint="default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</w:tbl>
    <w:p>
      <w:pPr>
        <w:pStyle w:val="57"/>
        <w:spacing w:after="0"/>
        <w:rPr>
          <w:sz w:val="8"/>
          <w:szCs w:val="8"/>
        </w:rPr>
      </w:pPr>
    </w:p>
    <w:p>
      <w:pPr>
        <w:spacing w:before="120" w:after="120"/>
      </w:pPr>
      <w:r>
        <w:br w:type="page"/>
      </w:r>
    </w:p>
    <w:p>
      <w:pPr>
        <w:spacing w:before="120" w:after="120"/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spacing w:before="120" w:after="120"/>
        <w:jc w:val="center"/>
        <w:rPr>
          <w:b/>
          <w:color w:val="FF0000"/>
        </w:rPr>
      </w:pPr>
    </w:p>
    <w:p>
      <w:pPr>
        <w:pStyle w:val="2"/>
        <w:spacing w:before="120" w:after="120"/>
        <w:rPr>
          <w:rFonts w:eastAsia="宋体"/>
          <w:color w:val="000000"/>
        </w:rPr>
      </w:pPr>
      <w:bookmarkStart w:id="1" w:name="_Toc29674375"/>
      <w:bookmarkStart w:id="2" w:name="_Toc29673241"/>
      <w:bookmarkStart w:id="3" w:name="_Toc105769304"/>
      <w:bookmarkStart w:id="4" w:name="_Toc29673382"/>
      <w:bookmarkStart w:id="5" w:name="_Toc45810654"/>
      <w:bookmarkStart w:id="6" w:name="_Toc36645605"/>
      <w:r>
        <w:rPr>
          <w:rFonts w:hint="eastAsia" w:eastAsia="宋体"/>
          <w:color w:val="000000"/>
        </w:rPr>
        <w:t xml:space="preserve">14 </w:t>
      </w:r>
      <w:r>
        <w:t>Integrated access-backhaul operation</w:t>
      </w:r>
    </w:p>
    <w:p>
      <w:pPr>
        <w:spacing w:before="120" w:after="120"/>
        <w:jc w:val="center"/>
        <w:rPr>
          <w:color w:val="A6A6A6" w:themeColor="background1" w:themeShade="A6"/>
        </w:rPr>
      </w:pPr>
      <w:r>
        <w:rPr>
          <w:b/>
          <w:color w:val="FF0000"/>
        </w:rPr>
        <w:t>&lt;Unchanged parts omitted&gt;</w:t>
      </w:r>
    </w:p>
    <w:p>
      <w:pPr>
        <w:spacing w:before="120" w:after="120"/>
        <w:rPr>
          <w:sz w:val="20"/>
        </w:rPr>
      </w:pPr>
    </w:p>
    <w:p>
      <w:pPr>
        <w:widowControl w:val="0"/>
        <w:rPr>
          <w:sz w:val="20"/>
        </w:rPr>
      </w:pPr>
      <w:r>
        <w:rPr>
          <w:sz w:val="20"/>
          <w:lang w:eastAsia="zh-CN"/>
        </w:rPr>
        <w:t xml:space="preserve">With reference to slots of an IAB-DU cell, the IAB-DU can be provided an indication of hard, soft or unavailable type per RB set for symbols configured as downlink, uplink or flexible in a slot by </w:t>
      </w:r>
      <w:r>
        <w:rPr>
          <w:i/>
          <w:iCs/>
          <w:sz w:val="20"/>
        </w:rPr>
        <w:t xml:space="preserve">Frequency-Domain HSNA Configuration List </w:t>
      </w:r>
      <w:r>
        <w:rPr>
          <w:sz w:val="20"/>
          <w:lang w:val="en-US"/>
        </w:rPr>
        <w:t>[16, TS 38.473]</w:t>
      </w:r>
      <w:r>
        <w:rPr>
          <w:sz w:val="20"/>
          <w:lang w:eastAsia="zh-CN"/>
        </w:rPr>
        <w:t xml:space="preserve">. The RB set size and the number of RB sets are configured by </w:t>
      </w:r>
      <w:r>
        <w:rPr>
          <w:i/>
          <w:iCs/>
          <w:sz w:val="20"/>
          <w:lang w:eastAsia="zh-CN"/>
        </w:rPr>
        <w:t>RB-Set-Configuration</w:t>
      </w:r>
      <w:r>
        <w:rPr>
          <w:sz w:val="20"/>
          <w:lang w:eastAsia="zh-CN"/>
        </w:rPr>
        <w:t xml:space="preserve"> </w:t>
      </w:r>
      <w:r>
        <w:rPr>
          <w:sz w:val="20"/>
          <w:lang w:val="en-US"/>
        </w:rPr>
        <w:t>[16, TS 38.473]</w:t>
      </w:r>
      <w:r>
        <w:rPr>
          <w:sz w:val="20"/>
          <w:lang w:eastAsia="zh-CN"/>
        </w:rPr>
        <w:t xml:space="preserve">. If an indication of hard, soft or unavailable type is not provided for an RB set of a symbol in a slot, the IAB-DU applies the configuration of hard, soft or unavailable type provided by </w:t>
      </w:r>
      <w:r>
        <w:rPr>
          <w:i/>
          <w:iCs/>
          <w:sz w:val="20"/>
          <w:lang w:eastAsia="zh-CN"/>
        </w:rPr>
        <w:t>HSNA Slot Configuration List</w:t>
      </w:r>
      <w:r>
        <w:rPr>
          <w:sz w:val="20"/>
          <w:lang w:eastAsia="zh-CN"/>
        </w:rPr>
        <w:t xml:space="preserve"> in </w:t>
      </w:r>
      <w:r>
        <w:rPr>
          <w:i/>
          <w:iCs/>
          <w:sz w:val="20"/>
        </w:rPr>
        <w:t>gNB-DU Cell Resource Configuration</w:t>
      </w:r>
      <w:r>
        <w:rPr>
          <w:sz w:val="20"/>
          <w:lang w:eastAsia="zh-CN"/>
        </w:rPr>
        <w:t xml:space="preserve"> </w:t>
      </w:r>
      <w:r>
        <w:rPr>
          <w:sz w:val="20"/>
          <w:lang w:val="en-US"/>
        </w:rPr>
        <w:t>[16, TS 38.473] for the RB set of the symbol in the slot</w:t>
      </w:r>
      <w:r>
        <w:rPr>
          <w:sz w:val="20"/>
          <w:lang w:eastAsia="zh-CN"/>
        </w:rPr>
        <w:t xml:space="preserve">. If an indication of hard, soft, or unavailable type is provided for an RB set in a symbol of a slot, the IAB-DU applies the configuration of hard, soft, or unavailable type provided by </w:t>
      </w:r>
      <w:r>
        <w:rPr>
          <w:i/>
          <w:iCs/>
          <w:sz w:val="20"/>
        </w:rPr>
        <w:t>Frequency-Domain HSNA Configuration List</w:t>
      </w:r>
      <w:r>
        <w:rPr>
          <w:sz w:val="20"/>
          <w:lang w:eastAsia="zh-CN"/>
        </w:rPr>
        <w:t xml:space="preserve"> </w:t>
      </w:r>
      <w:r>
        <w:rPr>
          <w:sz w:val="20"/>
          <w:lang w:val="en-US"/>
        </w:rPr>
        <w:t>[16, TS 38.473]</w:t>
      </w:r>
      <w:r>
        <w:rPr>
          <w:sz w:val="20"/>
          <w:lang w:eastAsia="zh-CN"/>
        </w:rPr>
        <w:t xml:space="preserve"> </w:t>
      </w:r>
      <w:r>
        <w:rPr>
          <w:strike/>
          <w:color w:val="FF0000"/>
          <w:sz w:val="20"/>
          <w:lang w:eastAsia="zh-CN"/>
        </w:rPr>
        <w:t>when the IAB-node uses simultaneous transmission and reception in the slot</w:t>
      </w:r>
      <w:r>
        <w:rPr>
          <w:sz w:val="20"/>
          <w:lang w:eastAsia="zh-CN"/>
        </w:rPr>
        <w:t>.</w:t>
      </w:r>
    </w:p>
    <w:p>
      <w:pPr>
        <w:widowControl w:val="0"/>
        <w:spacing w:before="120" w:after="120"/>
        <w:rPr>
          <w:sz w:val="20"/>
          <w:lang w:eastAsia="ko-KR"/>
        </w:rPr>
      </w:pPr>
    </w:p>
    <w:bookmarkEnd w:id="1"/>
    <w:bookmarkEnd w:id="2"/>
    <w:bookmarkEnd w:id="3"/>
    <w:bookmarkEnd w:id="4"/>
    <w:bookmarkEnd w:id="5"/>
    <w:bookmarkEnd w:id="6"/>
    <w:p>
      <w:pPr>
        <w:spacing w:before="120" w:after="120"/>
        <w:jc w:val="center"/>
        <w:rPr>
          <w:rFonts w:hint="eastAsia" w:eastAsia="宋体"/>
          <w:lang w:val="en-US" w:eastAsia="zh-CN"/>
        </w:rPr>
      </w:pPr>
      <w:r>
        <w:rPr>
          <w:b/>
          <w:color w:val="FF0000"/>
        </w:rPr>
        <w:t>&lt;Unchanged parts omitted</w:t>
      </w:r>
      <w:r>
        <w:rPr>
          <w:rFonts w:hint="eastAsia"/>
          <w:b/>
          <w:color w:val="FF0000"/>
          <w:lang w:val="en-US" w:eastAsia="zh-CN"/>
        </w:rPr>
        <w:t>&gt;</w:t>
      </w:r>
      <w:bookmarkStart w:id="7" w:name="_GoBack"/>
      <w:bookmarkEnd w:id="7"/>
    </w:p>
    <w:sectPr>
      <w:footerReference r:id="rId6" w:type="default"/>
      <w:pgSz w:w="11906" w:h="16838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5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yvpdEyAgAAYw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XK+l0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3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AB34B193"/>
    <w:multiLevelType w:val="singleLevel"/>
    <w:tmpl w:val="AB34B193"/>
    <w:lvl w:ilvl="0" w:tentative="0">
      <w:start w:val="1"/>
      <w:numFmt w:val="decimal"/>
      <w:pStyle w:val="49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33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F4187486"/>
    <w:multiLevelType w:val="multilevel"/>
    <w:tmpl w:val="F4187486"/>
    <w:lvl w:ilvl="0" w:tentative="0">
      <w:start w:val="1"/>
      <w:numFmt w:val="decimal"/>
      <w:pStyle w:val="34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01110C9E"/>
    <w:multiLevelType w:val="multilevel"/>
    <w:tmpl w:val="01110C9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E9E3F0D"/>
    <w:multiLevelType w:val="multilevel"/>
    <w:tmpl w:val="1E9E3F0D"/>
    <w:lvl w:ilvl="0" w:tentative="0">
      <w:start w:val="1"/>
      <w:numFmt w:val="decimal"/>
      <w:pStyle w:val="56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0DE34BC"/>
    <w:multiLevelType w:val="singleLevel"/>
    <w:tmpl w:val="40DE34BC"/>
    <w:lvl w:ilvl="0" w:tentative="0">
      <w:start w:val="1"/>
      <w:numFmt w:val="decimal"/>
      <w:pStyle w:val="66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>
    <w:nsid w:val="43FCA2C8"/>
    <w:multiLevelType w:val="singleLevel"/>
    <w:tmpl w:val="43FCA2C8"/>
    <w:lvl w:ilvl="0" w:tentative="0">
      <w:start w:val="1"/>
      <w:numFmt w:val="lowerRoman"/>
      <w:pStyle w:val="3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9">
    <w:nsid w:val="4A55685D"/>
    <w:multiLevelType w:val="singleLevel"/>
    <w:tmpl w:val="4A55685D"/>
    <w:lvl w:ilvl="0" w:tentative="0">
      <w:start w:val="1"/>
      <w:numFmt w:val="bullet"/>
      <w:pStyle w:val="65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0">
    <w:nsid w:val="7DC436CD"/>
    <w:multiLevelType w:val="singleLevel"/>
    <w:tmpl w:val="7DC436CD"/>
    <w:lvl w:ilvl="0" w:tentative="0">
      <w:start w:val="1"/>
      <w:numFmt w:val="bullet"/>
      <w:pStyle w:val="32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0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25CC1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D09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64B6C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354402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EC32D7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41270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645475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23665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62870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0FFC7DDD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62465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0637A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1739B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3422BE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C3382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DC4894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33224"/>
    <w:rsid w:val="1C8418ED"/>
    <w:rsid w:val="1C86736E"/>
    <w:rsid w:val="1C8725C8"/>
    <w:rsid w:val="1C9F4936"/>
    <w:rsid w:val="1CA307DF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51C00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26D9F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70B14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226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56FFF"/>
    <w:rsid w:val="25181803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CA3D78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4560F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7C3A43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A7635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7B25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8299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4D1C07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0B17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B70AFF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8044B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16714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9282A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B95028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56432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2C1965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0A4BAC"/>
    <w:rsid w:val="3F1331AC"/>
    <w:rsid w:val="3F1E27CF"/>
    <w:rsid w:val="3F2009C1"/>
    <w:rsid w:val="3F353DC0"/>
    <w:rsid w:val="3F360E3B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525AF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B027C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D1F4A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33F38"/>
    <w:rsid w:val="478651CC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279FE"/>
    <w:rsid w:val="4AA93410"/>
    <w:rsid w:val="4AAD1944"/>
    <w:rsid w:val="4AAE2AA2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A0168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94E2F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667A9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B66687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95BB8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C52FE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ED675F"/>
    <w:rsid w:val="53FC33D0"/>
    <w:rsid w:val="54003B17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2A4F"/>
    <w:rsid w:val="54D043CF"/>
    <w:rsid w:val="54DB013C"/>
    <w:rsid w:val="54E63771"/>
    <w:rsid w:val="55087916"/>
    <w:rsid w:val="551A4193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1795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B3DE2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941F7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C34F8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D4620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7046B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A45D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EE6F33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8476A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57C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1D7074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96BF4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04498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21D08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93778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1C4BC9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A5151"/>
    <w:rsid w:val="71DF2920"/>
    <w:rsid w:val="71E0214A"/>
    <w:rsid w:val="71E90B3C"/>
    <w:rsid w:val="71EB0F46"/>
    <w:rsid w:val="71EE30DF"/>
    <w:rsid w:val="71FF6F44"/>
    <w:rsid w:val="72024F4A"/>
    <w:rsid w:val="720635EC"/>
    <w:rsid w:val="721131CD"/>
    <w:rsid w:val="72150D6C"/>
    <w:rsid w:val="721663F4"/>
    <w:rsid w:val="72197A81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22AAE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EB488C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94079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11C40"/>
    <w:rsid w:val="7644186F"/>
    <w:rsid w:val="76473874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1506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D72B9"/>
    <w:rsid w:val="781F0EC5"/>
    <w:rsid w:val="782C6A8C"/>
    <w:rsid w:val="783548C8"/>
    <w:rsid w:val="7837782A"/>
    <w:rsid w:val="783932C4"/>
    <w:rsid w:val="783A3A44"/>
    <w:rsid w:val="7840216D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21F4B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948C8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46EF8"/>
    <w:rsid w:val="7ACA4379"/>
    <w:rsid w:val="7AD64595"/>
    <w:rsid w:val="7ADF088B"/>
    <w:rsid w:val="7ADF149B"/>
    <w:rsid w:val="7AE252F7"/>
    <w:rsid w:val="7AE74082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163DF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99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50" w:after="50"/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1"/>
    <w:unhideWhenUsed/>
    <w:qFormat/>
    <w:uiPriority w:val="99"/>
    <w:pPr>
      <w:ind w:left="851"/>
    </w:pPr>
  </w:style>
  <w:style w:type="paragraph" w:styleId="9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0">
    <w:name w:val="Document Map"/>
    <w:basedOn w:val="1"/>
    <w:link w:val="42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1">
    <w:name w:val="annotation text"/>
    <w:basedOn w:val="1"/>
    <w:link w:val="43"/>
    <w:semiHidden/>
    <w:unhideWhenUsed/>
    <w:qFormat/>
    <w:uiPriority w:val="0"/>
    <w:pPr>
      <w:jc w:val="left"/>
    </w:pPr>
  </w:style>
  <w:style w:type="paragraph" w:styleId="12">
    <w:name w:val="Body Text"/>
    <w:basedOn w:val="1"/>
    <w:unhideWhenUsed/>
    <w:qFormat/>
    <w:uiPriority w:val="99"/>
    <w:rPr>
      <w:rFonts w:ascii="Times" w:hAnsi="Times"/>
      <w:sz w:val="20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1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qFormat/>
    <w:uiPriority w:val="0"/>
    <w:pPr>
      <w:widowControl w:val="0"/>
      <w:spacing w:after="200" w:line="276" w:lineRule="auto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17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18">
    <w:name w:val="List"/>
    <w:basedOn w:val="1"/>
    <w:unhideWhenUsed/>
    <w:qFormat/>
    <w:uiPriority w:val="99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1">
    <w:name w:val="List 4"/>
    <w:basedOn w:val="7"/>
    <w:qFormat/>
    <w:uiPriority w:val="0"/>
    <w:pPr>
      <w:ind w:left="1418"/>
    </w:pPr>
  </w:style>
  <w:style w:type="paragraph" w:styleId="22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23">
    <w:name w:val="annotation subject"/>
    <w:basedOn w:val="11"/>
    <w:next w:val="11"/>
    <w:link w:val="44"/>
    <w:semiHidden/>
    <w:unhideWhenUsed/>
    <w:qFormat/>
    <w:uiPriority w:val="99"/>
    <w:pPr>
      <w:spacing w:line="240" w:lineRule="auto"/>
      <w:jc w:val="both"/>
    </w:pPr>
    <w:rPr>
      <w:b/>
      <w:bCs/>
      <w:sz w:val="20"/>
    </w:rPr>
  </w:style>
  <w:style w:type="table" w:styleId="25">
    <w:name w:val="Table Grid"/>
    <w:basedOn w:val="24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page number"/>
    <w:basedOn w:val="26"/>
    <w:semiHidden/>
    <w:qFormat/>
    <w:uiPriority w:val="0"/>
  </w:style>
  <w:style w:type="character" w:styleId="28">
    <w:name w:val="Emphasis"/>
    <w:basedOn w:val="26"/>
    <w:qFormat/>
    <w:uiPriority w:val="20"/>
    <w:rPr>
      <w:i/>
      <w:iCs/>
    </w:rPr>
  </w:style>
  <w:style w:type="character" w:styleId="29">
    <w:name w:val="Hyperlink"/>
    <w:basedOn w:val="2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0">
    <w:name w:val="annotation reference"/>
    <w:basedOn w:val="26"/>
    <w:semiHidden/>
    <w:unhideWhenUsed/>
    <w:qFormat/>
    <w:uiPriority w:val="99"/>
    <w:rPr>
      <w:sz w:val="16"/>
      <w:szCs w:val="16"/>
    </w:rPr>
  </w:style>
  <w:style w:type="character" w:customStyle="1" w:styleId="31">
    <w:name w:val="批注框文本 Char"/>
    <w:basedOn w:val="26"/>
    <w:link w:val="14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paragraph" w:customStyle="1" w:styleId="32">
    <w:name w:val="sub-proposal"/>
    <w:basedOn w:val="33"/>
    <w:next w:val="1"/>
    <w:qFormat/>
    <w:uiPriority w:val="0"/>
    <w:pPr>
      <w:numPr>
        <w:numId w:val="1"/>
      </w:numPr>
      <w:tabs>
        <w:tab w:val="left" w:pos="0"/>
        <w:tab w:val="left" w:pos="420"/>
        <w:tab w:val="left" w:pos="807"/>
      </w:tabs>
      <w:ind w:left="862" w:leftChars="200" w:hanging="442" w:hangingChars="200"/>
    </w:pPr>
  </w:style>
  <w:style w:type="paragraph" w:customStyle="1" w:styleId="33">
    <w:name w:val="YJ-Proposal"/>
    <w:basedOn w:val="1"/>
    <w:qFormat/>
    <w:uiPriority w:val="0"/>
    <w:pPr>
      <w:numPr>
        <w:ilvl w:val="0"/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4">
    <w:name w:val="ZTE-Proposal"/>
    <w:basedOn w:val="1"/>
    <w:qFormat/>
    <w:uiPriority w:val="0"/>
    <w:pPr>
      <w:numPr>
        <w:ilvl w:val="0"/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5">
    <w:name w:val="sub-observation"/>
    <w:basedOn w:val="32"/>
    <w:next w:val="1"/>
    <w:qFormat/>
    <w:uiPriority w:val="0"/>
  </w:style>
  <w:style w:type="paragraph" w:customStyle="1" w:styleId="36">
    <w:name w:val="3rd level proposal"/>
    <w:basedOn w:val="32"/>
    <w:next w:val="1"/>
    <w:qFormat/>
    <w:uiPriority w:val="0"/>
    <w:pPr>
      <w:numPr>
        <w:ilvl w:val="0"/>
        <w:numId w:val="4"/>
      </w:numPr>
      <w:ind w:left="1282" w:leftChars="400" w:hanging="442"/>
    </w:pPr>
  </w:style>
  <w:style w:type="paragraph" w:customStyle="1" w:styleId="37">
    <w:name w:val="3rd level observation"/>
    <w:basedOn w:val="35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38">
    <w:name w:val="References"/>
    <w:basedOn w:val="1"/>
    <w:qFormat/>
    <w:uiPriority w:val="0"/>
    <w:pPr>
      <w:numPr>
        <w:ilvl w:val="0"/>
        <w:numId w:val="6"/>
      </w:numPr>
      <w:spacing w:after="60"/>
    </w:pPr>
    <w:rPr>
      <w:szCs w:val="16"/>
    </w:rPr>
  </w:style>
  <w:style w:type="paragraph" w:styleId="39">
    <w:name w:val="List Paragraph"/>
    <w:basedOn w:val="1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40">
    <w:name w:val="样式1"/>
    <w:basedOn w:val="1"/>
    <w:qFormat/>
    <w:uiPriority w:val="0"/>
  </w:style>
  <w:style w:type="paragraph" w:customStyle="1" w:styleId="41">
    <w:name w:val="样式2"/>
    <w:basedOn w:val="1"/>
    <w:qFormat/>
    <w:uiPriority w:val="0"/>
  </w:style>
  <w:style w:type="character" w:customStyle="1" w:styleId="42">
    <w:name w:val="文档结构图 Char"/>
    <w:basedOn w:val="26"/>
    <w:link w:val="10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3">
    <w:name w:val="批注文字 Char"/>
    <w:basedOn w:val="26"/>
    <w:link w:val="11"/>
    <w:semiHidden/>
    <w:qFormat/>
    <w:uiPriority w:val="99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B1"/>
    <w:basedOn w:val="18"/>
    <w:link w:val="60"/>
    <w:qFormat/>
    <w:uiPriority w:val="0"/>
  </w:style>
  <w:style w:type="paragraph" w:customStyle="1" w:styleId="4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47">
    <w:name w:val="fontstyle01"/>
    <w:basedOn w:val="26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48">
    <w:name w:val="TAL"/>
    <w:basedOn w:val="1"/>
    <w:qFormat/>
    <w:uiPriority w:val="0"/>
    <w:pPr>
      <w:keepNext/>
      <w:keepLines/>
    </w:pPr>
    <w:rPr>
      <w:rFonts w:ascii="Arial" w:hAnsi="Arial" w:eastAsia="MS Mincho"/>
      <w:sz w:val="18"/>
    </w:rPr>
  </w:style>
  <w:style w:type="paragraph" w:customStyle="1" w:styleId="49">
    <w:name w:val="YJ-Observation"/>
    <w:basedOn w:val="33"/>
    <w:qFormat/>
    <w:uiPriority w:val="0"/>
    <w:pPr>
      <w:numPr>
        <w:ilvl w:val="0"/>
        <w:numId w:val="7"/>
      </w:numPr>
      <w:tabs>
        <w:tab w:val="left" w:pos="420"/>
      </w:tabs>
    </w:pPr>
  </w:style>
  <w:style w:type="paragraph" w:customStyle="1" w:styleId="50">
    <w:name w:val="xmsonormal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Gulim" w:cs="Calibri"/>
      <w:kern w:val="0"/>
      <w:sz w:val="22"/>
      <w:szCs w:val="22"/>
    </w:rPr>
  </w:style>
  <w:style w:type="paragraph" w:customStyle="1" w:styleId="51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52">
    <w:name w:val="B2"/>
    <w:basedOn w:val="8"/>
    <w:link w:val="61"/>
    <w:qFormat/>
    <w:uiPriority w:val="0"/>
  </w:style>
  <w:style w:type="paragraph" w:customStyle="1" w:styleId="53">
    <w:name w:val="B3"/>
    <w:basedOn w:val="7"/>
    <w:link w:val="62"/>
    <w:qFormat/>
    <w:uiPriority w:val="0"/>
  </w:style>
  <w:style w:type="paragraph" w:customStyle="1" w:styleId="54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5">
    <w:name w:val="B4"/>
    <w:basedOn w:val="21"/>
    <w:link w:val="63"/>
    <w:qFormat/>
    <w:uiPriority w:val="0"/>
  </w:style>
  <w:style w:type="paragraph" w:customStyle="1" w:styleId="56">
    <w:name w:val="YJ-Observation-2021"/>
    <w:basedOn w:val="1"/>
    <w:qFormat/>
    <w:uiPriority w:val="0"/>
    <w:pPr>
      <w:numPr>
        <w:ilvl w:val="0"/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B5"/>
    <w:basedOn w:val="1"/>
    <w:link w:val="64"/>
    <w:qFormat/>
    <w:uiPriority w:val="0"/>
    <w:pPr>
      <w:ind w:left="1702" w:hanging="284"/>
    </w:pPr>
  </w:style>
  <w:style w:type="character" w:customStyle="1" w:styleId="60">
    <w:name w:val="B1 Zchn"/>
    <w:link w:val="45"/>
    <w:qFormat/>
    <w:uiPriority w:val="0"/>
    <w:rPr>
      <w:kern w:val="2"/>
      <w:sz w:val="21"/>
    </w:rPr>
  </w:style>
  <w:style w:type="character" w:customStyle="1" w:styleId="61">
    <w:name w:val="B2 Char"/>
    <w:link w:val="52"/>
    <w:qFormat/>
    <w:uiPriority w:val="0"/>
    <w:rPr>
      <w:kern w:val="2"/>
      <w:sz w:val="21"/>
    </w:rPr>
  </w:style>
  <w:style w:type="character" w:customStyle="1" w:styleId="62">
    <w:name w:val="B3 Char"/>
    <w:link w:val="53"/>
    <w:qFormat/>
    <w:uiPriority w:val="0"/>
    <w:rPr>
      <w:kern w:val="2"/>
      <w:sz w:val="21"/>
    </w:rPr>
  </w:style>
  <w:style w:type="character" w:customStyle="1" w:styleId="63">
    <w:name w:val="B4 Char"/>
    <w:link w:val="55"/>
    <w:qFormat/>
    <w:uiPriority w:val="0"/>
    <w:rPr>
      <w:kern w:val="2"/>
      <w:sz w:val="21"/>
    </w:rPr>
  </w:style>
  <w:style w:type="character" w:customStyle="1" w:styleId="64">
    <w:name w:val="B5 Char"/>
    <w:link w:val="59"/>
    <w:qFormat/>
    <w:uiPriority w:val="0"/>
    <w:rPr>
      <w:kern w:val="2"/>
      <w:sz w:val="21"/>
    </w:rPr>
  </w:style>
  <w:style w:type="paragraph" w:customStyle="1" w:styleId="65">
    <w:name w:val="text intend 1"/>
    <w:basedOn w:val="1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66">
    <w:name w:val="Tdoc_Heading_1"/>
    <w:basedOn w:val="2"/>
    <w:next w:val="1"/>
    <w:qFormat/>
    <w:uiPriority w:val="0"/>
    <w:pPr>
      <w:keepLines w:val="0"/>
      <w:numPr>
        <w:ilvl w:val="0"/>
        <w:numId w:val="10"/>
      </w:numPr>
      <w:pBdr>
        <w:top w:val="none" w:color="auto" w:sz="0" w:space="0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4059EA-ACE4-4576-AB68-DDF11EE404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2</Pages>
  <Words>556</Words>
  <Characters>3171</Characters>
  <Lines>26</Lines>
  <Paragraphs>7</Paragraphs>
  <TotalTime>1</TotalTime>
  <ScaleCrop>false</ScaleCrop>
  <LinksUpToDate>false</LinksUpToDate>
  <CharactersWithSpaces>3720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2022-02-09T04:37:00Z</dcterms:created>
  <dc:creator>ZTE</dc:creator>
  <cp:lastModifiedBy>10110583</cp:lastModifiedBy>
  <dcterms:modified xsi:type="dcterms:W3CDTF">2022-08-09T11:57:31Z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